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SOLID led 30 m Wandanbau 24 V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Einseitige 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65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den Anschluss an </w:t>
      </w:r>
      <w:bookmarkStart w:name="_Hlk31212365" w:id="0"/>
      <w:r>
        <w:rPr>
          <w:rFonts w:ascii="Arial" w:hAnsi="Arial"/>
          <w:sz w:val="20"/>
          <w:szCs w:val="20"/>
          <w:rtl w:val="0"/>
          <w:lang w:val="de-DE"/>
        </w:rPr>
        <w:t xml:space="preserve">ein dezentrales 24-V-System </w:t>
      </w:r>
      <w:bookmarkEnd w:id="0"/>
      <w:r>
        <w:rPr>
          <w:rFonts w:ascii="Arial" w:hAnsi="Arial"/>
          <w:sz w:val="20"/>
          <w:szCs w:val="20"/>
          <w:rtl w:val="0"/>
          <w:lang w:val="de-DE"/>
        </w:rPr>
        <w:t>mit LED-Technik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Wandanbaumontage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im Neuzustand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625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30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24-V-System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24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24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9,5 VA / 3,1 W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130 mA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24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935.02.13008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